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D" w:rsidRPr="00FB142F" w:rsidRDefault="0082024C" w:rsidP="00D215FD">
      <w:pPr>
        <w:jc w:val="center"/>
        <w:rPr>
          <w:rFonts w:ascii="仿宋_GB2312" w:eastAsia="仿宋_GB2312"/>
          <w:b/>
          <w:spacing w:val="-2"/>
          <w:kern w:val="10"/>
          <w:position w:val="2"/>
          <w:sz w:val="32"/>
        </w:rPr>
      </w:pPr>
      <w:r w:rsidRPr="0082024C">
        <w:rPr>
          <w:rFonts w:ascii="仿宋_GB2312" w:eastAsia="仿宋_GB2312" w:hint="eastAsia"/>
          <w:b/>
          <w:spacing w:val="-2"/>
          <w:kern w:val="10"/>
          <w:position w:val="2"/>
          <w:sz w:val="32"/>
        </w:rPr>
        <w:t>《汽车防锈包装规程 车身冲压件》</w:t>
      </w:r>
      <w:r w:rsidR="00D215FD" w:rsidRPr="00FB142F">
        <w:rPr>
          <w:rFonts w:ascii="仿宋_GB2312" w:eastAsia="仿宋_GB2312" w:hint="eastAsia"/>
          <w:b/>
          <w:spacing w:val="-2"/>
          <w:kern w:val="10"/>
          <w:position w:val="2"/>
          <w:sz w:val="32"/>
        </w:rPr>
        <w:t>编制说明</w:t>
      </w:r>
    </w:p>
    <w:p w:rsidR="00D215FD" w:rsidRPr="00FB142F" w:rsidRDefault="00D215FD" w:rsidP="00D215FD">
      <w:pPr>
        <w:jc w:val="center"/>
        <w:rPr>
          <w:rFonts w:ascii="仿宋_GB2312" w:eastAsia="仿宋_GB2312"/>
          <w:b/>
          <w:spacing w:val="-2"/>
          <w:kern w:val="10"/>
          <w:position w:val="2"/>
          <w:sz w:val="32"/>
        </w:rPr>
      </w:pPr>
      <w:r w:rsidRPr="00FB142F">
        <w:rPr>
          <w:rFonts w:ascii="仿宋_GB2312" w:eastAsia="仿宋_GB2312" w:hint="eastAsia"/>
          <w:b/>
          <w:spacing w:val="-2"/>
          <w:kern w:val="10"/>
          <w:position w:val="2"/>
          <w:sz w:val="32"/>
        </w:rPr>
        <w:t>（标准送审稿）</w:t>
      </w:r>
    </w:p>
    <w:p w:rsidR="00D215FD" w:rsidRPr="00FB142F" w:rsidRDefault="00D215FD" w:rsidP="00D215FD">
      <w:pPr>
        <w:rPr>
          <w:b/>
          <w:szCs w:val="21"/>
        </w:rPr>
      </w:pPr>
      <w:r w:rsidRPr="00FB142F">
        <w:rPr>
          <w:rFonts w:hint="eastAsia"/>
          <w:b/>
          <w:szCs w:val="21"/>
        </w:rPr>
        <w:t>一、工作简况</w:t>
      </w:r>
    </w:p>
    <w:p w:rsidR="00D215FD" w:rsidRPr="00FB142F" w:rsidRDefault="00D215FD" w:rsidP="00D215FD">
      <w:pPr>
        <w:rPr>
          <w:b/>
          <w:szCs w:val="21"/>
        </w:rPr>
      </w:pPr>
      <w:r w:rsidRPr="00FB142F">
        <w:rPr>
          <w:rFonts w:hint="eastAsia"/>
          <w:b/>
          <w:szCs w:val="21"/>
        </w:rPr>
        <w:t>1</w:t>
      </w:r>
      <w:r w:rsidRPr="00FB142F">
        <w:rPr>
          <w:rFonts w:hint="eastAsia"/>
          <w:b/>
          <w:szCs w:val="21"/>
        </w:rPr>
        <w:t>、任务来源</w:t>
      </w:r>
    </w:p>
    <w:p w:rsidR="00D215FD" w:rsidRPr="00FB142F" w:rsidRDefault="00D215FD" w:rsidP="00D215FD">
      <w:pPr>
        <w:pStyle w:val="a5"/>
        <w:ind w:firstLine="420"/>
        <w:rPr>
          <w:rFonts w:hAnsi="宋体" w:cs="宋体"/>
          <w:szCs w:val="21"/>
        </w:rPr>
      </w:pPr>
      <w:r w:rsidRPr="00FB142F">
        <w:rPr>
          <w:rFonts w:hAnsi="宋体" w:cs="宋体" w:hint="eastAsia"/>
          <w:szCs w:val="21"/>
        </w:rPr>
        <w:t>本标准依据中国汽车工程学会</w:t>
      </w:r>
      <w:r w:rsidRPr="008F0EBE">
        <w:rPr>
          <w:rFonts w:hAnsi="宋体" w:cs="宋体" w:hint="eastAsia"/>
          <w:color w:val="000000" w:themeColor="text1"/>
          <w:szCs w:val="21"/>
          <w:highlight w:val="yellow"/>
        </w:rPr>
        <w:t>2014年12月12日印发中汽学函[2014]73号《中国汽车工程学会技术规范起草任务书》/任务书编号2014-3</w:t>
      </w:r>
      <w:r w:rsidR="00A85E06" w:rsidRPr="008F0EBE">
        <w:rPr>
          <w:rFonts w:hAnsi="宋体" w:cs="宋体" w:hint="eastAsia"/>
          <w:color w:val="000000" w:themeColor="text1"/>
          <w:szCs w:val="21"/>
          <w:highlight w:val="yellow"/>
        </w:rPr>
        <w:t>制定</w:t>
      </w:r>
      <w:r w:rsidR="00A85E06">
        <w:rPr>
          <w:rFonts w:hAnsi="宋体" w:cs="宋体" w:hint="eastAsia"/>
          <w:szCs w:val="21"/>
        </w:rPr>
        <w:t>，标准名称《汽车防锈包装规程</w:t>
      </w:r>
      <w:r w:rsidRPr="00FB142F">
        <w:rPr>
          <w:rFonts w:hAnsi="宋体" w:cs="宋体" w:hint="eastAsia"/>
          <w:szCs w:val="21"/>
        </w:rPr>
        <w:t xml:space="preserve"> 车身冲压件》。本标准主要完成单位：</w:t>
      </w:r>
      <w:r w:rsidR="00F04FBD" w:rsidRPr="00F04FBD">
        <w:rPr>
          <w:rFonts w:hAnsi="宋体" w:cs="宋体" w:hint="eastAsia"/>
          <w:szCs w:val="21"/>
        </w:rPr>
        <w:t>沈阳防锈包装材料有限责任公司、重庆长安汽车股份有限公司、长安福特汽车有限公司、中国第一汽车股份有限公司技术中心、安徽江淮汽车股份有限公司、上汽通用汽车有限公司、比亚迪汽车有限公司、杭州</w:t>
      </w:r>
      <w:r w:rsidR="00F04FBD" w:rsidRPr="00F04FBD">
        <w:rPr>
          <w:rFonts w:hAnsi="宋体" w:cs="宋体"/>
          <w:szCs w:val="21"/>
        </w:rPr>
        <w:t>库德表面处理技术有限公司、</w:t>
      </w:r>
      <w:r w:rsidR="00F04FBD" w:rsidRPr="00F04FBD">
        <w:rPr>
          <w:rFonts w:hAnsi="宋体" w:cs="宋体" w:hint="eastAsia"/>
          <w:szCs w:val="21"/>
        </w:rPr>
        <w:t>沈阳华晨汽车有限公司</w:t>
      </w:r>
    </w:p>
    <w:p w:rsidR="00D215FD" w:rsidRPr="00FB142F" w:rsidRDefault="00D215FD" w:rsidP="00D215FD">
      <w:pPr>
        <w:pStyle w:val="a5"/>
        <w:ind w:firstLineChars="0" w:firstLine="0"/>
        <w:rPr>
          <w:b/>
          <w:szCs w:val="21"/>
        </w:rPr>
      </w:pPr>
      <w:r w:rsidRPr="00FB142F">
        <w:rPr>
          <w:rFonts w:hint="eastAsia"/>
          <w:b/>
          <w:szCs w:val="21"/>
        </w:rPr>
        <w:t>2、 主要工作过程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2015年12月由沈阳防锈包装材料有限责任公司向中国汽车工程学会（以下简称中汽学会）提出制定《汽车防锈包装规</w:t>
      </w:r>
      <w:r w:rsidR="00F04FBD">
        <w:rPr>
          <w:rFonts w:ascii="宋体" w:hAnsi="宋体" w:cs="宋体" w:hint="eastAsia"/>
          <w:kern w:val="0"/>
          <w:szCs w:val="21"/>
        </w:rPr>
        <w:t xml:space="preserve">程 </w:t>
      </w:r>
      <w:r w:rsidRPr="00FB142F">
        <w:rPr>
          <w:rFonts w:ascii="宋体" w:hAnsi="宋体" w:cs="宋体" w:hint="eastAsia"/>
          <w:kern w:val="0"/>
          <w:szCs w:val="21"/>
        </w:rPr>
        <w:t>车身冲压件》标准的申请，2016年1月成立了标准工作组，提出撰写思路并进行分工。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标准工作组于2016年3月在上海召开了标准启动会，会议确认了标准工作计划、撰写大纲、章节目录和工作分工。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2016年8月，标准工作组完成了标准初稿的编制、函审及修改。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2016年9月，标准工作组在苏州进行了标准初稿的评审。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2016年10月-2017年3月，标准工作组对标准稿进行试运行（现场评估），并修改，形成标准定稿版本。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2017年9月</w:t>
      </w:r>
      <w:r w:rsidR="00323273" w:rsidRPr="00FB142F">
        <w:rPr>
          <w:rFonts w:ascii="宋体" w:hAnsi="宋体" w:cs="宋体" w:hint="eastAsia"/>
          <w:kern w:val="0"/>
          <w:szCs w:val="21"/>
        </w:rPr>
        <w:t>，标准工作组在</w:t>
      </w:r>
      <w:r w:rsidRPr="00FB142F">
        <w:rPr>
          <w:rFonts w:ascii="宋体" w:hAnsi="宋体" w:cs="宋体" w:hint="eastAsia"/>
          <w:kern w:val="0"/>
          <w:szCs w:val="21"/>
        </w:rPr>
        <w:t>沈阳进行了标准定稿的评审。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2017年</w:t>
      </w:r>
      <w:r w:rsidR="003D0822" w:rsidRPr="00FB142F">
        <w:rPr>
          <w:rFonts w:ascii="宋体" w:hAnsi="宋体" w:cs="宋体" w:hint="eastAsia"/>
          <w:kern w:val="0"/>
          <w:szCs w:val="21"/>
        </w:rPr>
        <w:t>10</w:t>
      </w:r>
      <w:r w:rsidRPr="00FB142F">
        <w:rPr>
          <w:rFonts w:ascii="宋体" w:hAnsi="宋体" w:cs="宋体" w:hint="eastAsia"/>
          <w:kern w:val="0"/>
          <w:szCs w:val="21"/>
        </w:rPr>
        <w:t>月，向中国汽车工程学会提交标准送审稿。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2017年11月，单项标准终审会议（北京）。</w:t>
      </w:r>
    </w:p>
    <w:p w:rsidR="00D215FD" w:rsidRPr="00FB142F" w:rsidRDefault="00D215FD" w:rsidP="00D215FD">
      <w:pPr>
        <w:ind w:firstLineChars="250" w:firstLine="52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2018年1月，标准发布。</w:t>
      </w:r>
    </w:p>
    <w:p w:rsidR="00D215FD" w:rsidRPr="00FB142F" w:rsidRDefault="00D215FD" w:rsidP="00D215FD">
      <w:pPr>
        <w:autoSpaceDE w:val="0"/>
        <w:autoSpaceDN w:val="0"/>
        <w:adjustRightInd w:val="0"/>
        <w:jc w:val="left"/>
        <w:rPr>
          <w:rFonts w:ascii="宋体" w:hAnsi="宋体" w:cs="黑体"/>
          <w:b/>
          <w:kern w:val="0"/>
          <w:szCs w:val="21"/>
        </w:rPr>
      </w:pPr>
      <w:r w:rsidRPr="00FB142F">
        <w:rPr>
          <w:rFonts w:ascii="宋体" w:hAnsi="宋体" w:cs="黑体" w:hint="eastAsia"/>
          <w:b/>
          <w:kern w:val="0"/>
          <w:szCs w:val="21"/>
        </w:rPr>
        <w:t>3</w:t>
      </w:r>
      <w:r w:rsidR="00281966" w:rsidRPr="00FB142F">
        <w:rPr>
          <w:rFonts w:ascii="宋体" w:hAnsi="宋体" w:cs="黑体" w:hint="eastAsia"/>
          <w:b/>
          <w:kern w:val="0"/>
          <w:szCs w:val="21"/>
        </w:rPr>
        <w:t>、</w:t>
      </w:r>
      <w:r w:rsidRPr="00FB142F">
        <w:rPr>
          <w:rFonts w:ascii="宋体" w:hAnsi="宋体" w:cs="黑体" w:hint="eastAsia"/>
          <w:b/>
          <w:kern w:val="0"/>
          <w:sz w:val="24"/>
        </w:rPr>
        <w:t>主要参加单位和工作组成员及主要工作</w:t>
      </w:r>
    </w:p>
    <w:p w:rsidR="00D215FD" w:rsidRPr="00FB142F" w:rsidRDefault="00D215FD" w:rsidP="00D215FD">
      <w:pPr>
        <w:pStyle w:val="a5"/>
        <w:ind w:firstLine="420"/>
      </w:pPr>
      <w:r w:rsidRPr="00FB142F">
        <w:rPr>
          <w:rFonts w:hint="eastAsia"/>
        </w:rPr>
        <w:t>本标准负责起草单位：</w:t>
      </w:r>
      <w:r w:rsidRPr="00FB142F">
        <w:rPr>
          <w:rFonts w:hAnsi="宋体" w:cs="宋体" w:hint="eastAsia"/>
          <w:szCs w:val="21"/>
        </w:rPr>
        <w:t>沈阳防锈包装材料有限责任公司</w:t>
      </w:r>
      <w:r w:rsidRPr="00FB142F">
        <w:rPr>
          <w:rFonts w:hint="eastAsia"/>
        </w:rPr>
        <w:t>。</w:t>
      </w:r>
    </w:p>
    <w:p w:rsidR="00A85E06" w:rsidRPr="00F04FBD" w:rsidRDefault="00D215FD" w:rsidP="00F04FBD">
      <w:pPr>
        <w:pStyle w:val="a5"/>
        <w:ind w:firstLine="420"/>
        <w:rPr>
          <w:rFonts w:hAnsi="宋体" w:cs="宋体"/>
          <w:szCs w:val="21"/>
        </w:rPr>
      </w:pPr>
      <w:r w:rsidRPr="00FB142F">
        <w:rPr>
          <w:rFonts w:hint="eastAsia"/>
        </w:rPr>
        <w:t>本标准参加起草单位：</w:t>
      </w:r>
      <w:r w:rsidR="00F04FBD" w:rsidRPr="00F04FBD">
        <w:rPr>
          <w:rFonts w:hAnsi="宋体" w:cs="宋体" w:hint="eastAsia"/>
          <w:szCs w:val="21"/>
        </w:rPr>
        <w:t>重庆长安汽车股份有限公司、长安福特汽车有限公司、中国第一汽车股份有限公司技术中心、安徽江淮汽车股份有限公司、上汽通用汽车有限公司、比亚迪汽车有限公司、杭州</w:t>
      </w:r>
      <w:r w:rsidR="00F04FBD" w:rsidRPr="00F04FBD">
        <w:rPr>
          <w:rFonts w:hAnsi="宋体" w:cs="宋体"/>
          <w:szCs w:val="21"/>
        </w:rPr>
        <w:t>库德表面处理技术有限公司、</w:t>
      </w:r>
      <w:r w:rsidR="00F04FBD" w:rsidRPr="00F04FBD">
        <w:rPr>
          <w:rFonts w:hAnsi="宋体" w:cs="宋体" w:hint="eastAsia"/>
          <w:szCs w:val="21"/>
        </w:rPr>
        <w:t>沈阳华晨汽车有限公司</w:t>
      </w:r>
      <w:r w:rsidR="00FB3128">
        <w:rPr>
          <w:rFonts w:hAnsi="宋体" w:hint="eastAsia"/>
        </w:rPr>
        <w:t>。</w:t>
      </w:r>
    </w:p>
    <w:p w:rsidR="00D215FD" w:rsidRPr="00FB142F" w:rsidRDefault="00D215FD" w:rsidP="00D215FD">
      <w:pPr>
        <w:pStyle w:val="a5"/>
        <w:ind w:firstLine="420"/>
        <w:rPr>
          <w:rFonts w:hAnsi="宋体" w:cs="宋体"/>
          <w:szCs w:val="21"/>
        </w:rPr>
      </w:pPr>
      <w:r w:rsidRPr="00FB142F">
        <w:rPr>
          <w:rFonts w:hAnsi="宋体" w:cs="宋体" w:hint="eastAsia"/>
          <w:szCs w:val="21"/>
        </w:rPr>
        <w:t>本标准主要起草人：谭振洲、白芳</w:t>
      </w:r>
    </w:p>
    <w:p w:rsidR="00D215FD" w:rsidRPr="00FB142F" w:rsidRDefault="00D215FD" w:rsidP="00D215FD">
      <w:pPr>
        <w:pStyle w:val="a5"/>
        <w:ind w:firstLine="420"/>
        <w:rPr>
          <w:rFonts w:hAnsi="宋体" w:cs="宋体"/>
          <w:szCs w:val="21"/>
        </w:rPr>
      </w:pPr>
      <w:r w:rsidRPr="00FB142F">
        <w:rPr>
          <w:rFonts w:hAnsi="宋体" w:cs="宋体" w:hint="eastAsia"/>
          <w:szCs w:val="21"/>
        </w:rPr>
        <w:t>本标准参加起草人：</w:t>
      </w:r>
      <w:r w:rsidRPr="00FB142F">
        <w:rPr>
          <w:rFonts w:hAnsi="宋体" w:hint="eastAsia"/>
        </w:rPr>
        <w:t>黄平、王纳新、赵晓宏、</w:t>
      </w:r>
      <w:r w:rsidRPr="00FB142F">
        <w:rPr>
          <w:rFonts w:hAnsi="宋体"/>
        </w:rPr>
        <w:t>王添琪、</w:t>
      </w:r>
      <w:r w:rsidRPr="00FB142F">
        <w:rPr>
          <w:rFonts w:hAnsi="宋体" w:hint="eastAsia"/>
        </w:rPr>
        <w:t>宁瑞、刘朝斌、李婷婷、赵华坚、赵冉</w:t>
      </w:r>
      <w:r w:rsidR="00F5056A" w:rsidRPr="00FB142F">
        <w:rPr>
          <w:rFonts w:hAnsi="宋体" w:hint="eastAsia"/>
        </w:rPr>
        <w:t>、姚翔宇</w:t>
      </w:r>
      <w:r w:rsidRPr="00FB142F">
        <w:rPr>
          <w:rFonts w:hAnsi="宋体" w:hint="eastAsia"/>
        </w:rPr>
        <w:t>。</w:t>
      </w:r>
    </w:p>
    <w:p w:rsidR="00D215FD" w:rsidRPr="00FB142F" w:rsidRDefault="00D215FD" w:rsidP="00D215FD">
      <w:pPr>
        <w:pStyle w:val="a5"/>
        <w:ind w:firstLine="420"/>
      </w:pPr>
      <w:r w:rsidRPr="00FB142F">
        <w:rPr>
          <w:rFonts w:hAnsi="宋体" w:cs="宋体" w:hint="eastAsia"/>
          <w:szCs w:val="21"/>
        </w:rPr>
        <w:t>沈阳防锈包装材料有限责任公司，谭振洲、白芳。组建</w:t>
      </w:r>
      <w:r w:rsidRPr="00FB142F">
        <w:rPr>
          <w:rFonts w:hint="eastAsia"/>
        </w:rPr>
        <w:t>标准工作组，编写标准总体框架，编写标准，收集标准工作组意见反馈并修改，工作汇报。</w:t>
      </w:r>
    </w:p>
    <w:p w:rsidR="00D215FD" w:rsidRPr="00FB142F" w:rsidRDefault="00D215FD" w:rsidP="00D215FD">
      <w:pPr>
        <w:pStyle w:val="a5"/>
        <w:ind w:firstLine="420"/>
      </w:pPr>
      <w:r w:rsidRPr="00FB142F">
        <w:rPr>
          <w:rFonts w:hint="eastAsia"/>
        </w:rPr>
        <w:t>标准工作组的其它成员负责对标准内容进行审核和修订。</w:t>
      </w:r>
    </w:p>
    <w:p w:rsidR="00D215FD" w:rsidRPr="00FB142F" w:rsidRDefault="00281966" w:rsidP="00D215FD">
      <w:pPr>
        <w:autoSpaceDE w:val="0"/>
        <w:autoSpaceDN w:val="0"/>
        <w:adjustRightInd w:val="0"/>
        <w:jc w:val="left"/>
        <w:rPr>
          <w:rFonts w:ascii="宋体"/>
          <w:b/>
        </w:rPr>
      </w:pPr>
      <w:r w:rsidRPr="00FB142F">
        <w:rPr>
          <w:rFonts w:ascii="宋体" w:hint="eastAsia"/>
          <w:b/>
        </w:rPr>
        <w:t>二、</w:t>
      </w:r>
      <w:r w:rsidR="00D215FD" w:rsidRPr="00FB142F">
        <w:rPr>
          <w:rFonts w:ascii="宋体" w:hint="eastAsia"/>
          <w:b/>
        </w:rPr>
        <w:t>标准编制原则和主要内容的论据</w:t>
      </w:r>
    </w:p>
    <w:p w:rsidR="00D215FD" w:rsidRPr="00FB142F" w:rsidRDefault="00D215FD" w:rsidP="00D215FD">
      <w:pPr>
        <w:autoSpaceDE w:val="0"/>
        <w:autoSpaceDN w:val="0"/>
        <w:adjustRightInd w:val="0"/>
        <w:jc w:val="left"/>
        <w:rPr>
          <w:rFonts w:ascii="宋体"/>
          <w:b/>
        </w:rPr>
      </w:pPr>
      <w:r w:rsidRPr="00FB142F">
        <w:rPr>
          <w:rFonts w:ascii="宋体" w:hint="eastAsia"/>
          <w:b/>
        </w:rPr>
        <w:t>1、标准制订的主要依据</w:t>
      </w:r>
    </w:p>
    <w:p w:rsidR="00BF090A" w:rsidRPr="00FB142F" w:rsidRDefault="00BF090A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本标准主要依据GB/T 4879《防锈包装》的指导思想，结合了</w:t>
      </w:r>
      <w:r w:rsidR="00A07B0E" w:rsidRPr="00FB142F">
        <w:rPr>
          <w:rFonts w:ascii="宋体" w:hAnsi="宋体" w:cs="宋体" w:hint="eastAsia"/>
          <w:kern w:val="0"/>
          <w:szCs w:val="21"/>
        </w:rPr>
        <w:t>多年来对各主机厂</w:t>
      </w:r>
      <w:r w:rsidRPr="00FB142F">
        <w:rPr>
          <w:rFonts w:ascii="宋体" w:hAnsi="宋体" w:cs="宋体" w:hint="eastAsia"/>
          <w:kern w:val="0"/>
          <w:szCs w:val="21"/>
        </w:rPr>
        <w:t>车身冲压件储存运输防锈</w:t>
      </w:r>
      <w:r w:rsidR="00A07B0E" w:rsidRPr="00FB142F">
        <w:rPr>
          <w:rFonts w:ascii="宋体" w:hAnsi="宋体" w:cs="宋体" w:hint="eastAsia"/>
          <w:kern w:val="0"/>
          <w:szCs w:val="21"/>
        </w:rPr>
        <w:t>的实际操作情况而形成</w:t>
      </w:r>
      <w:r w:rsidRPr="00FB142F">
        <w:rPr>
          <w:rFonts w:ascii="宋体" w:hAnsi="宋体" w:cs="宋体" w:hint="eastAsia"/>
          <w:kern w:val="0"/>
          <w:szCs w:val="21"/>
        </w:rPr>
        <w:t>成功经验</w:t>
      </w:r>
      <w:r w:rsidR="00A07B0E" w:rsidRPr="00FB142F">
        <w:rPr>
          <w:rFonts w:ascii="宋体" w:hAnsi="宋体" w:cs="宋体" w:hint="eastAsia"/>
          <w:kern w:val="0"/>
          <w:szCs w:val="21"/>
        </w:rPr>
        <w:t>，形成该标准。</w:t>
      </w:r>
    </w:p>
    <w:p w:rsidR="00D215FD" w:rsidRPr="00FB142F" w:rsidRDefault="00D215FD" w:rsidP="00D215FD">
      <w:pPr>
        <w:autoSpaceDE w:val="0"/>
        <w:autoSpaceDN w:val="0"/>
        <w:adjustRightInd w:val="0"/>
        <w:jc w:val="left"/>
        <w:rPr>
          <w:rFonts w:ascii="宋体"/>
          <w:b/>
        </w:rPr>
      </w:pPr>
      <w:r w:rsidRPr="00FB142F">
        <w:rPr>
          <w:rFonts w:ascii="宋体" w:hint="eastAsia"/>
          <w:b/>
        </w:rPr>
        <w:t>2、标准制订的原则</w:t>
      </w:r>
    </w:p>
    <w:p w:rsidR="0074517F" w:rsidRPr="00FB142F" w:rsidRDefault="005A02D1" w:rsidP="00CE72D1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该标准积极参考国际先进标准，</w:t>
      </w:r>
      <w:r w:rsidR="00D215FD" w:rsidRPr="00FB142F">
        <w:rPr>
          <w:rFonts w:ascii="宋体" w:hAnsi="宋体" w:cs="宋体" w:hint="eastAsia"/>
          <w:kern w:val="0"/>
          <w:szCs w:val="21"/>
        </w:rPr>
        <w:t>根据</w:t>
      </w:r>
      <w:r w:rsidR="00806D54" w:rsidRPr="00FB142F">
        <w:rPr>
          <w:rFonts w:ascii="宋体" w:hAnsi="宋体" w:cs="宋体" w:hint="eastAsia"/>
          <w:kern w:val="0"/>
          <w:szCs w:val="21"/>
        </w:rPr>
        <w:t>针对</w:t>
      </w:r>
      <w:r w:rsidR="00D215FD" w:rsidRPr="00FB142F">
        <w:rPr>
          <w:rFonts w:ascii="宋体" w:hAnsi="宋体" w:cs="宋体" w:hint="eastAsia"/>
          <w:kern w:val="0"/>
          <w:szCs w:val="21"/>
        </w:rPr>
        <w:t>各主机厂在</w:t>
      </w:r>
      <w:r w:rsidR="00806D54" w:rsidRPr="00FB142F">
        <w:rPr>
          <w:rFonts w:ascii="宋体" w:hAnsi="宋体" w:cs="宋体" w:hint="eastAsia"/>
          <w:kern w:val="0"/>
          <w:szCs w:val="21"/>
        </w:rPr>
        <w:t>车身冲压件存储运输</w:t>
      </w:r>
      <w:r w:rsidR="00D215FD" w:rsidRPr="00FB142F">
        <w:rPr>
          <w:rFonts w:ascii="宋体" w:hAnsi="宋体" w:cs="宋体" w:hint="eastAsia"/>
          <w:kern w:val="0"/>
          <w:szCs w:val="21"/>
        </w:rPr>
        <w:t>过程中的</w:t>
      </w:r>
      <w:r w:rsidR="00806D54" w:rsidRPr="00FB142F">
        <w:rPr>
          <w:rFonts w:ascii="宋体" w:hAnsi="宋体" w:cs="宋体" w:hint="eastAsia"/>
          <w:kern w:val="0"/>
          <w:szCs w:val="21"/>
        </w:rPr>
        <w:t>防锈包装</w:t>
      </w:r>
      <w:r w:rsidR="00D215FD" w:rsidRPr="00FB142F">
        <w:rPr>
          <w:rFonts w:ascii="宋体" w:hAnsi="宋体" w:cs="宋体" w:hint="eastAsia"/>
          <w:kern w:val="0"/>
          <w:szCs w:val="21"/>
        </w:rPr>
        <w:t>经验总结，</w:t>
      </w:r>
      <w:r w:rsidR="0074517F" w:rsidRPr="00FB142F">
        <w:rPr>
          <w:rFonts w:ascii="宋体" w:hAnsi="宋体" w:cs="宋体" w:hint="eastAsia"/>
          <w:kern w:val="0"/>
          <w:szCs w:val="21"/>
        </w:rPr>
        <w:t>制定该项标准。体现</w:t>
      </w:r>
      <w:r>
        <w:rPr>
          <w:rFonts w:ascii="宋体" w:hAnsi="宋体" w:cs="宋体" w:hint="eastAsia"/>
          <w:kern w:val="0"/>
          <w:szCs w:val="21"/>
        </w:rPr>
        <w:t>了</w:t>
      </w:r>
      <w:r w:rsidR="0074517F" w:rsidRPr="00FB142F">
        <w:rPr>
          <w:rFonts w:ascii="宋体" w:hAnsi="宋体" w:cs="宋体" w:hint="eastAsia"/>
          <w:kern w:val="0"/>
          <w:szCs w:val="21"/>
        </w:rPr>
        <w:t>先进性、代表性、行业适用性。</w:t>
      </w:r>
    </w:p>
    <w:p w:rsidR="00D215FD" w:rsidRPr="00FB142F" w:rsidRDefault="00D215FD" w:rsidP="00D215FD">
      <w:pPr>
        <w:autoSpaceDE w:val="0"/>
        <w:autoSpaceDN w:val="0"/>
        <w:adjustRightInd w:val="0"/>
        <w:jc w:val="left"/>
        <w:rPr>
          <w:rFonts w:ascii="宋体"/>
          <w:b/>
        </w:rPr>
      </w:pPr>
      <w:r w:rsidRPr="00FB142F">
        <w:rPr>
          <w:rFonts w:ascii="宋体" w:hint="eastAsia"/>
          <w:b/>
        </w:rPr>
        <w:lastRenderedPageBreak/>
        <w:t>3、主要内容的论据</w:t>
      </w:r>
    </w:p>
    <w:p w:rsidR="00CE72D1" w:rsidRPr="00FB142F" w:rsidRDefault="00F04FB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本技术规程</w:t>
      </w:r>
      <w:r w:rsidR="00D215FD" w:rsidRPr="00FB142F">
        <w:rPr>
          <w:rFonts w:ascii="宋体" w:hAnsi="宋体" w:cs="宋体" w:hint="eastAsia"/>
          <w:kern w:val="0"/>
          <w:szCs w:val="21"/>
        </w:rPr>
        <w:t>规定了汽车</w:t>
      </w:r>
      <w:r w:rsidR="00323273" w:rsidRPr="00FB142F">
        <w:rPr>
          <w:rFonts w:ascii="宋体" w:hAnsi="宋体" w:cs="宋体" w:hint="eastAsia"/>
          <w:kern w:val="0"/>
          <w:szCs w:val="21"/>
        </w:rPr>
        <w:t>冲压</w:t>
      </w:r>
      <w:r w:rsidR="00D215FD" w:rsidRPr="00FB142F">
        <w:rPr>
          <w:rFonts w:ascii="宋体" w:hAnsi="宋体" w:cs="宋体" w:hint="eastAsia"/>
          <w:kern w:val="0"/>
          <w:szCs w:val="21"/>
        </w:rPr>
        <w:t>件</w:t>
      </w:r>
      <w:r w:rsidR="00323273" w:rsidRPr="00FB142F">
        <w:rPr>
          <w:rFonts w:ascii="宋体" w:hAnsi="宋体" w:cs="宋体" w:hint="eastAsia"/>
          <w:kern w:val="0"/>
          <w:szCs w:val="21"/>
        </w:rPr>
        <w:t>储存运输过程中的防锈包装</w:t>
      </w:r>
      <w:r w:rsidR="00D215FD" w:rsidRPr="00FB142F">
        <w:rPr>
          <w:rFonts w:ascii="宋体" w:hAnsi="宋体" w:cs="宋体" w:hint="eastAsia"/>
          <w:kern w:val="0"/>
          <w:szCs w:val="21"/>
        </w:rPr>
        <w:t>方法，包括</w:t>
      </w:r>
      <w:r w:rsidR="00C349B2" w:rsidRPr="00FB142F">
        <w:rPr>
          <w:rFonts w:ascii="宋体" w:hAnsi="宋体" w:cs="宋体" w:hint="eastAsia"/>
          <w:kern w:val="0"/>
          <w:szCs w:val="21"/>
        </w:rPr>
        <w:t>规定了防锈包装的等级，针对冲压件总体防锈情况的</w:t>
      </w:r>
      <w:r w:rsidR="00537806" w:rsidRPr="00FB142F">
        <w:rPr>
          <w:rFonts w:ascii="宋体" w:hAnsi="宋体" w:cs="宋体" w:hint="eastAsia"/>
          <w:kern w:val="0"/>
          <w:szCs w:val="21"/>
        </w:rPr>
        <w:t>建议</w:t>
      </w:r>
      <w:r w:rsidR="00C349B2" w:rsidRPr="00FB142F">
        <w:rPr>
          <w:rFonts w:ascii="宋体" w:hAnsi="宋体" w:cs="宋体" w:hint="eastAsia"/>
          <w:kern w:val="0"/>
          <w:szCs w:val="21"/>
        </w:rPr>
        <w:t>、防锈材料技术条件、环境、仓库防锈及运输防锈的相关要求，并对车身冲压件的防锈形式及包装方法给出建议，能够指导整车或零部件厂的车身冲压件储运过程中的防锈。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1、</w:t>
      </w:r>
      <w:r w:rsidR="00CE72D1" w:rsidRPr="00FB142F">
        <w:rPr>
          <w:rFonts w:ascii="宋体" w:hAnsi="宋体" w:cs="宋体" w:hint="eastAsia"/>
          <w:kern w:val="0"/>
          <w:szCs w:val="21"/>
        </w:rPr>
        <w:t>防锈包装等级</w:t>
      </w:r>
      <w:bookmarkStart w:id="0" w:name="_GoBack"/>
      <w:bookmarkEnd w:id="0"/>
    </w:p>
    <w:p w:rsidR="00CE72D1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规定了</w:t>
      </w:r>
      <w:r w:rsidR="00CE72D1" w:rsidRPr="00FB142F">
        <w:rPr>
          <w:rFonts w:ascii="宋体" w:hAnsi="宋体" w:cs="宋体" w:hint="eastAsia"/>
          <w:kern w:val="0"/>
          <w:szCs w:val="21"/>
        </w:rPr>
        <w:t>1级包装满足12个月</w:t>
      </w:r>
      <w:r w:rsidR="005A02D1">
        <w:rPr>
          <w:rFonts w:ascii="宋体" w:hAnsi="宋体" w:cs="宋体" w:hint="eastAsia"/>
          <w:kern w:val="0"/>
          <w:szCs w:val="21"/>
        </w:rPr>
        <w:t>内</w:t>
      </w:r>
      <w:r w:rsidR="00CE72D1" w:rsidRPr="00FB142F">
        <w:rPr>
          <w:rFonts w:ascii="宋体" w:hAnsi="宋体" w:cs="宋体" w:hint="eastAsia"/>
          <w:kern w:val="0"/>
          <w:szCs w:val="21"/>
        </w:rPr>
        <w:t>的防锈要求，适用与海运出口及建储</w:t>
      </w:r>
      <w:r w:rsidR="0083490A">
        <w:rPr>
          <w:rFonts w:ascii="宋体" w:hAnsi="宋体" w:cs="宋体" w:hint="eastAsia"/>
          <w:kern w:val="0"/>
          <w:szCs w:val="21"/>
        </w:rPr>
        <w:t>；</w:t>
      </w:r>
      <w:r w:rsidR="00CE72D1" w:rsidRPr="00FB142F">
        <w:rPr>
          <w:rFonts w:ascii="宋体" w:hAnsi="宋体" w:cs="宋体" w:hint="eastAsia"/>
          <w:kern w:val="0"/>
          <w:szCs w:val="21"/>
        </w:rPr>
        <w:t>2级包装满足6个月</w:t>
      </w:r>
      <w:r w:rsidR="005A02D1">
        <w:rPr>
          <w:rFonts w:ascii="宋体" w:hAnsi="宋体" w:cs="宋体" w:hint="eastAsia"/>
          <w:kern w:val="0"/>
          <w:szCs w:val="21"/>
        </w:rPr>
        <w:t>内</w:t>
      </w:r>
      <w:r w:rsidR="00CE72D1" w:rsidRPr="00FB142F">
        <w:rPr>
          <w:rFonts w:ascii="宋体" w:hAnsi="宋体" w:cs="宋体" w:hint="eastAsia"/>
          <w:kern w:val="0"/>
          <w:szCs w:val="21"/>
        </w:rPr>
        <w:t>的防锈要求，适用于国内运输及建储</w:t>
      </w:r>
      <w:r w:rsidR="0083490A">
        <w:rPr>
          <w:rFonts w:ascii="宋体" w:hAnsi="宋体" w:cs="宋体" w:hint="eastAsia"/>
          <w:kern w:val="0"/>
          <w:szCs w:val="21"/>
        </w:rPr>
        <w:t>；</w:t>
      </w:r>
      <w:r w:rsidR="00CE72D1" w:rsidRPr="00FB142F">
        <w:rPr>
          <w:rFonts w:ascii="宋体" w:hAnsi="宋体" w:cs="宋体" w:hint="eastAsia"/>
          <w:kern w:val="0"/>
          <w:szCs w:val="21"/>
        </w:rPr>
        <w:t>3级包装满足1个月内的防锈要求，</w:t>
      </w:r>
      <w:r w:rsidR="00CE72D1" w:rsidRPr="00FB142F">
        <w:rPr>
          <w:rFonts w:asciiTheme="minorEastAsia" w:eastAsiaTheme="minorEastAsia" w:hAnsiTheme="minorEastAsia" w:hint="eastAsia"/>
          <w:szCs w:val="21"/>
        </w:rPr>
        <w:t>适用于短途运输及序间周转、暂存。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2、</w:t>
      </w:r>
      <w:r w:rsidR="00A85E06">
        <w:rPr>
          <w:rFonts w:ascii="宋体" w:hAnsi="宋体" w:cs="宋体" w:hint="eastAsia"/>
          <w:kern w:val="0"/>
          <w:szCs w:val="21"/>
        </w:rPr>
        <w:t>要求</w:t>
      </w:r>
    </w:p>
    <w:p w:rsidR="00D215FD" w:rsidRPr="00FB142F" w:rsidRDefault="00A85E06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内容包括针对防锈包装的一般要求</w:t>
      </w:r>
      <w:r w:rsidR="00537806" w:rsidRPr="00FB142F">
        <w:rPr>
          <w:rFonts w:ascii="宋体" w:hAnsi="宋体" w:cs="宋体" w:hint="eastAsia"/>
          <w:kern w:val="0"/>
          <w:szCs w:val="21"/>
        </w:rPr>
        <w:t>，</w:t>
      </w:r>
      <w:r w:rsidR="00882035" w:rsidRPr="00FB142F">
        <w:rPr>
          <w:rFonts w:ascii="宋体" w:hAnsi="宋体" w:cs="宋体" w:hint="eastAsia"/>
          <w:kern w:val="0"/>
          <w:szCs w:val="21"/>
        </w:rPr>
        <w:t>防锈材料技术条件、环境、仓库防锈及运输防锈的相关要求。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3、</w:t>
      </w:r>
      <w:r w:rsidR="00882035" w:rsidRPr="00FB142F">
        <w:rPr>
          <w:rFonts w:ascii="宋体" w:hAnsi="宋体" w:cs="宋体" w:hint="eastAsia"/>
          <w:kern w:val="0"/>
          <w:szCs w:val="21"/>
        </w:rPr>
        <w:t>车身冲压件的防锈包装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规定了</w:t>
      </w:r>
      <w:r w:rsidR="00882035" w:rsidRPr="00FB142F">
        <w:rPr>
          <w:rFonts w:ascii="宋体" w:hAnsi="宋体" w:cs="宋体" w:hint="eastAsia"/>
          <w:kern w:val="0"/>
          <w:szCs w:val="21"/>
        </w:rPr>
        <w:t>防锈材料的应用形式及防锈包装方法</w:t>
      </w:r>
      <w:r w:rsidRPr="00FB142F">
        <w:rPr>
          <w:rFonts w:ascii="宋体" w:hAnsi="宋体" w:cs="宋体" w:hint="eastAsia"/>
          <w:kern w:val="0"/>
          <w:szCs w:val="21"/>
        </w:rPr>
        <w:t>。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4、</w:t>
      </w:r>
      <w:r w:rsidR="00882035" w:rsidRPr="00FB142F">
        <w:rPr>
          <w:rFonts w:ascii="宋体" w:hAnsi="宋体" w:cs="宋体" w:hint="eastAsia"/>
          <w:kern w:val="0"/>
          <w:szCs w:val="21"/>
        </w:rPr>
        <w:t>标志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规定了</w:t>
      </w:r>
      <w:r w:rsidR="00882035" w:rsidRPr="00FB142F">
        <w:rPr>
          <w:rFonts w:ascii="宋体" w:hAnsi="宋体" w:cs="宋体" w:hint="eastAsia"/>
          <w:kern w:val="0"/>
          <w:szCs w:val="21"/>
        </w:rPr>
        <w:t>外包装件应有的标示及参照标准</w:t>
      </w:r>
      <w:r w:rsidRPr="00FB142F">
        <w:rPr>
          <w:rFonts w:ascii="宋体" w:hAnsi="宋体" w:cs="宋体" w:hint="eastAsia"/>
          <w:kern w:val="0"/>
          <w:szCs w:val="21"/>
        </w:rPr>
        <w:t>。</w:t>
      </w:r>
    </w:p>
    <w:p w:rsidR="00D215FD" w:rsidRPr="00FB142F" w:rsidRDefault="0074517F" w:rsidP="00D215FD">
      <w:pPr>
        <w:rPr>
          <w:b/>
          <w:szCs w:val="21"/>
        </w:rPr>
      </w:pPr>
      <w:r w:rsidRPr="00FB142F">
        <w:rPr>
          <w:rFonts w:hint="eastAsia"/>
          <w:b/>
          <w:szCs w:val="21"/>
        </w:rPr>
        <w:t>三、</w:t>
      </w:r>
      <w:r w:rsidR="00D215FD" w:rsidRPr="00FB142F">
        <w:rPr>
          <w:rFonts w:hint="eastAsia"/>
          <w:b/>
          <w:szCs w:val="21"/>
        </w:rPr>
        <w:t>主要验证情况分析</w:t>
      </w:r>
    </w:p>
    <w:p w:rsidR="00D215FD" w:rsidRPr="00FB142F" w:rsidRDefault="006C6349" w:rsidP="00D215FD">
      <w:pPr>
        <w:pStyle w:val="3"/>
        <w:ind w:firstLineChars="200" w:firstLine="420"/>
        <w:rPr>
          <w:rFonts w:ascii="宋体" w:hAnsi="宋体"/>
          <w:b w:val="0"/>
          <w:bCs w:val="0"/>
          <w:sz w:val="21"/>
          <w:szCs w:val="21"/>
        </w:rPr>
      </w:pPr>
      <w:r w:rsidRPr="00FB142F">
        <w:rPr>
          <w:rFonts w:ascii="宋体" w:hAnsi="宋体" w:hint="eastAsia"/>
          <w:b w:val="0"/>
          <w:bCs w:val="0"/>
          <w:sz w:val="21"/>
          <w:szCs w:val="21"/>
        </w:rPr>
        <w:t>标准工作组对国内几</w:t>
      </w:r>
      <w:r w:rsidR="00D215FD" w:rsidRPr="00FB142F">
        <w:rPr>
          <w:rFonts w:ascii="宋体" w:hAnsi="宋体" w:hint="eastAsia"/>
          <w:b w:val="0"/>
          <w:bCs w:val="0"/>
          <w:sz w:val="21"/>
          <w:szCs w:val="21"/>
        </w:rPr>
        <w:t>家</w:t>
      </w:r>
      <w:r w:rsidRPr="00FB142F">
        <w:rPr>
          <w:rFonts w:ascii="宋体" w:hAnsi="宋体" w:hint="eastAsia"/>
          <w:b w:val="0"/>
          <w:bCs w:val="0"/>
          <w:sz w:val="21"/>
          <w:szCs w:val="21"/>
        </w:rPr>
        <w:t>主机厂车身冲压件储运及出口的防锈包装方式及应用结果</w:t>
      </w:r>
      <w:r w:rsidR="00D215FD" w:rsidRPr="00FB142F">
        <w:rPr>
          <w:rFonts w:ascii="宋体" w:hAnsi="宋体" w:hint="eastAsia"/>
          <w:b w:val="0"/>
          <w:bCs w:val="0"/>
          <w:sz w:val="21"/>
          <w:szCs w:val="21"/>
        </w:rPr>
        <w:t>进行了评估验证，通过对评估结果的分析，工作组确定了标准各项评估要求的可行性。</w:t>
      </w:r>
    </w:p>
    <w:p w:rsidR="00D215FD" w:rsidRPr="00FB142F" w:rsidRDefault="00D215FD" w:rsidP="00D215FD">
      <w:pPr>
        <w:pStyle w:val="3"/>
        <w:ind w:firstLineChars="200" w:firstLine="422"/>
        <w:jc w:val="center"/>
        <w:rPr>
          <w:rFonts w:ascii="宋体" w:hAnsi="宋体"/>
          <w:bCs w:val="0"/>
          <w:sz w:val="21"/>
          <w:szCs w:val="21"/>
        </w:rPr>
      </w:pPr>
      <w:r w:rsidRPr="00FB142F">
        <w:rPr>
          <w:rFonts w:ascii="宋体" w:hAnsi="宋体" w:hint="eastAsia"/>
          <w:bCs w:val="0"/>
          <w:sz w:val="21"/>
          <w:szCs w:val="21"/>
        </w:rPr>
        <w:t>评  估  结  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760"/>
        <w:gridCol w:w="4530"/>
        <w:gridCol w:w="1627"/>
      </w:tblGrid>
      <w:tr w:rsidR="00FB142F" w:rsidRPr="00FB142F" w:rsidTr="007F7110">
        <w:trPr>
          <w:trHeight w:val="567"/>
        </w:trPr>
        <w:tc>
          <w:tcPr>
            <w:tcW w:w="555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序号</w:t>
            </w:r>
          </w:p>
        </w:tc>
        <w:tc>
          <w:tcPr>
            <w:tcW w:w="1760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检验项目</w:t>
            </w:r>
          </w:p>
        </w:tc>
        <w:tc>
          <w:tcPr>
            <w:tcW w:w="4530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评估内容</w:t>
            </w:r>
          </w:p>
        </w:tc>
        <w:tc>
          <w:tcPr>
            <w:tcW w:w="1627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评估结果</w:t>
            </w:r>
          </w:p>
        </w:tc>
      </w:tr>
      <w:tr w:rsidR="00FB142F" w:rsidRPr="00FB142F" w:rsidTr="007F7110">
        <w:trPr>
          <w:cantSplit/>
          <w:trHeight w:val="656"/>
        </w:trPr>
        <w:tc>
          <w:tcPr>
            <w:tcW w:w="555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60" w:type="dxa"/>
            <w:vAlign w:val="center"/>
          </w:tcPr>
          <w:p w:rsidR="00D215FD" w:rsidRPr="00FB142F" w:rsidRDefault="003A1157" w:rsidP="007F7110">
            <w:pPr>
              <w:spacing w:line="0" w:lineRule="atLeast"/>
              <w:jc w:val="center"/>
            </w:pPr>
            <w:r w:rsidRPr="00FB142F">
              <w:rPr>
                <w:rFonts w:ascii="宋体" w:hAnsi="宋体" w:cs="宋体" w:hint="eastAsia"/>
                <w:kern w:val="0"/>
                <w:szCs w:val="21"/>
              </w:rPr>
              <w:t>出口防锈包装</w:t>
            </w:r>
          </w:p>
        </w:tc>
        <w:tc>
          <w:tcPr>
            <w:tcW w:w="4530" w:type="dxa"/>
            <w:vAlign w:val="center"/>
          </w:tcPr>
          <w:p w:rsidR="00D215FD" w:rsidRPr="00FB142F" w:rsidRDefault="000A1B9E" w:rsidP="000A1B9E">
            <w:pPr>
              <w:pStyle w:val="a5"/>
              <w:ind w:firstLineChars="0" w:firstLine="0"/>
            </w:pPr>
            <w:r w:rsidRPr="00FB142F">
              <w:rPr>
                <w:rFonts w:hint="eastAsia"/>
              </w:rPr>
              <w:t>实际封存效果达到无锈蚀，满足上线技术要求</w:t>
            </w:r>
          </w:p>
        </w:tc>
        <w:tc>
          <w:tcPr>
            <w:tcW w:w="1627" w:type="dxa"/>
            <w:vAlign w:val="center"/>
          </w:tcPr>
          <w:p w:rsidR="00D215FD" w:rsidRPr="00FB142F" w:rsidRDefault="00D215FD" w:rsidP="007F7110">
            <w:pPr>
              <w:jc w:val="center"/>
            </w:pPr>
            <w:r w:rsidRPr="00FB142F">
              <w:rPr>
                <w:rFonts w:hint="eastAsia"/>
              </w:rPr>
              <w:t>满足要求</w:t>
            </w:r>
          </w:p>
        </w:tc>
      </w:tr>
      <w:tr w:rsidR="00FB142F" w:rsidRPr="00FB142F" w:rsidTr="007F7110">
        <w:trPr>
          <w:cantSplit/>
          <w:trHeight w:val="510"/>
        </w:trPr>
        <w:tc>
          <w:tcPr>
            <w:tcW w:w="555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 w:rsidR="00D215FD" w:rsidRPr="00FB142F" w:rsidRDefault="003A1157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国内转运</w:t>
            </w:r>
          </w:p>
        </w:tc>
        <w:tc>
          <w:tcPr>
            <w:tcW w:w="4530" w:type="dxa"/>
            <w:vAlign w:val="center"/>
          </w:tcPr>
          <w:p w:rsidR="00D215FD" w:rsidRPr="00FB142F" w:rsidRDefault="003D2BE7" w:rsidP="007F7110">
            <w:pPr>
              <w:pStyle w:val="a5"/>
              <w:ind w:firstLineChars="0" w:firstLine="0"/>
            </w:pPr>
            <w:r w:rsidRPr="00FB142F">
              <w:rPr>
                <w:rFonts w:hint="eastAsia"/>
              </w:rPr>
              <w:t>实际封存效果达到无锈蚀，满足上线技术要求</w:t>
            </w:r>
          </w:p>
        </w:tc>
        <w:tc>
          <w:tcPr>
            <w:tcW w:w="1627" w:type="dxa"/>
            <w:vAlign w:val="center"/>
          </w:tcPr>
          <w:p w:rsidR="00D215FD" w:rsidRPr="00FB142F" w:rsidRDefault="00D215FD" w:rsidP="007F7110">
            <w:pPr>
              <w:jc w:val="center"/>
            </w:pPr>
            <w:r w:rsidRPr="00FB142F">
              <w:rPr>
                <w:rFonts w:hint="eastAsia"/>
              </w:rPr>
              <w:t>满足要求</w:t>
            </w:r>
          </w:p>
        </w:tc>
      </w:tr>
      <w:tr w:rsidR="00FB142F" w:rsidRPr="00FB142F" w:rsidTr="007F7110">
        <w:trPr>
          <w:cantSplit/>
          <w:trHeight w:val="510"/>
        </w:trPr>
        <w:tc>
          <w:tcPr>
            <w:tcW w:w="555" w:type="dxa"/>
            <w:vAlign w:val="center"/>
          </w:tcPr>
          <w:p w:rsidR="00D215FD" w:rsidRPr="00FB142F" w:rsidRDefault="00D215FD" w:rsidP="007F7110">
            <w:pPr>
              <w:spacing w:line="0" w:lineRule="atLeast"/>
              <w:jc w:val="center"/>
            </w:pPr>
            <w:r w:rsidRPr="00FB142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60" w:type="dxa"/>
            <w:vAlign w:val="center"/>
          </w:tcPr>
          <w:p w:rsidR="00D215FD" w:rsidRPr="00FB142F" w:rsidRDefault="003A1157" w:rsidP="007F7110">
            <w:pPr>
              <w:spacing w:line="0" w:lineRule="atLeast"/>
              <w:jc w:val="center"/>
            </w:pPr>
            <w:r w:rsidRPr="00FB142F">
              <w:rPr>
                <w:rFonts w:hint="eastAsia"/>
              </w:rPr>
              <w:t>序间暂存</w:t>
            </w:r>
          </w:p>
        </w:tc>
        <w:tc>
          <w:tcPr>
            <w:tcW w:w="4530" w:type="dxa"/>
            <w:vAlign w:val="center"/>
          </w:tcPr>
          <w:p w:rsidR="00D215FD" w:rsidRPr="00FB142F" w:rsidRDefault="003D2BE7" w:rsidP="007F7110">
            <w:pPr>
              <w:pStyle w:val="a5"/>
              <w:ind w:firstLineChars="0" w:firstLine="0"/>
            </w:pPr>
            <w:r w:rsidRPr="00FB142F">
              <w:rPr>
                <w:rFonts w:hint="eastAsia"/>
              </w:rPr>
              <w:t>实际封存效果达到无锈蚀，满足上线技术要求</w:t>
            </w:r>
          </w:p>
        </w:tc>
        <w:tc>
          <w:tcPr>
            <w:tcW w:w="1627" w:type="dxa"/>
            <w:vAlign w:val="center"/>
          </w:tcPr>
          <w:p w:rsidR="00D215FD" w:rsidRPr="00FB142F" w:rsidRDefault="00D215FD" w:rsidP="007F7110">
            <w:pPr>
              <w:jc w:val="center"/>
            </w:pPr>
            <w:r w:rsidRPr="00FB142F">
              <w:rPr>
                <w:rFonts w:hint="eastAsia"/>
              </w:rPr>
              <w:t>满足要求</w:t>
            </w:r>
          </w:p>
        </w:tc>
      </w:tr>
    </w:tbl>
    <w:p w:rsidR="00D215FD" w:rsidRPr="00FB142F" w:rsidRDefault="0074517F" w:rsidP="00D215FD">
      <w:pPr>
        <w:spacing w:line="360" w:lineRule="auto"/>
        <w:rPr>
          <w:b/>
          <w:szCs w:val="21"/>
        </w:rPr>
      </w:pPr>
      <w:r w:rsidRPr="00FB142F">
        <w:rPr>
          <w:rFonts w:hint="eastAsia"/>
          <w:b/>
          <w:szCs w:val="21"/>
        </w:rPr>
        <w:t>四、</w:t>
      </w:r>
      <w:r w:rsidR="00D215FD" w:rsidRPr="00FB142F">
        <w:rPr>
          <w:rFonts w:hint="eastAsia"/>
          <w:b/>
          <w:szCs w:val="21"/>
        </w:rPr>
        <w:t>专利涉及情况</w:t>
      </w:r>
      <w:r w:rsidR="003D2BE7" w:rsidRPr="00FB142F">
        <w:rPr>
          <w:rFonts w:asciiTheme="minorEastAsia" w:eastAsiaTheme="minorEastAsia" w:hAnsiTheme="minorEastAsia" w:hint="eastAsia"/>
          <w:szCs w:val="21"/>
        </w:rPr>
        <w:t>适</w:t>
      </w:r>
    </w:p>
    <w:p w:rsidR="00D215FD" w:rsidRPr="00FB142F" w:rsidRDefault="00D215FD" w:rsidP="00D215FD">
      <w:pPr>
        <w:pStyle w:val="3"/>
        <w:ind w:firstLineChars="200" w:firstLine="420"/>
        <w:rPr>
          <w:rFonts w:ascii="宋体" w:hAnsi="宋体"/>
          <w:b w:val="0"/>
          <w:bCs w:val="0"/>
          <w:sz w:val="21"/>
          <w:szCs w:val="21"/>
        </w:rPr>
      </w:pPr>
      <w:r w:rsidRPr="00FB142F">
        <w:rPr>
          <w:rFonts w:ascii="宋体" w:hAnsi="宋体" w:hint="eastAsia"/>
          <w:b w:val="0"/>
          <w:bCs w:val="0"/>
          <w:sz w:val="21"/>
          <w:szCs w:val="21"/>
        </w:rPr>
        <w:t>本标准未涉及专利。</w:t>
      </w:r>
    </w:p>
    <w:p w:rsidR="00D215FD" w:rsidRPr="00FB142F" w:rsidRDefault="0074517F" w:rsidP="00D215FD">
      <w:pPr>
        <w:spacing w:line="360" w:lineRule="auto"/>
        <w:rPr>
          <w:b/>
          <w:szCs w:val="21"/>
        </w:rPr>
      </w:pPr>
      <w:r w:rsidRPr="00FB142F">
        <w:rPr>
          <w:rFonts w:hint="eastAsia"/>
          <w:b/>
          <w:szCs w:val="21"/>
        </w:rPr>
        <w:t>五、</w:t>
      </w:r>
      <w:r w:rsidR="00D215FD" w:rsidRPr="00FB142F">
        <w:rPr>
          <w:rFonts w:hint="eastAsia"/>
          <w:b/>
          <w:szCs w:val="21"/>
        </w:rPr>
        <w:t>预期达到的社会效益、对产业发展的作用</w:t>
      </w:r>
    </w:p>
    <w:p w:rsidR="003D2BE7" w:rsidRPr="00FB142F" w:rsidRDefault="003D2BE7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防锈是一个系统工程，涉及到整个生产加工制造及储存运输各个环节。车身冲压件做为一辆汽车的主体部位，不但承担相关技术功能，还承载这外观属性，在消费者对细节日益苛刻要求的时代，任何在车身出现的瑕疵将被放大，很容易引起质量事故。所以车身冲压件的防锈包装尤为重要，应得到广泛的重视。</w:t>
      </w:r>
    </w:p>
    <w:p w:rsidR="003D2BE7" w:rsidRPr="00FB142F" w:rsidRDefault="00E059AF" w:rsidP="00E059AF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目前针对车身冲压件的防锈包装没有统一的国家或行业标准，各单位的技术要求也不统一，部分单位甚至没有要求，因腐蚀造成的损失也非常巨大。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该标准的建立，为汽车零部件</w:t>
      </w:r>
      <w:r w:rsidR="003D2BE7" w:rsidRPr="00FB142F">
        <w:rPr>
          <w:rFonts w:ascii="宋体" w:hAnsi="宋体" w:cs="宋体" w:hint="eastAsia"/>
          <w:kern w:val="0"/>
          <w:szCs w:val="21"/>
        </w:rPr>
        <w:t>供应商及主机厂车身冲压件储存运输提供依据</w:t>
      </w:r>
      <w:r w:rsidRPr="00FB142F">
        <w:rPr>
          <w:rFonts w:ascii="宋体" w:hAnsi="宋体" w:cs="宋体" w:hint="eastAsia"/>
          <w:kern w:val="0"/>
          <w:szCs w:val="21"/>
        </w:rPr>
        <w:t>，促进</w:t>
      </w:r>
      <w:r w:rsidR="003D2BE7" w:rsidRPr="00FB142F">
        <w:rPr>
          <w:rFonts w:ascii="宋体" w:hAnsi="宋体" w:cs="宋体" w:hint="eastAsia"/>
          <w:kern w:val="0"/>
          <w:szCs w:val="21"/>
        </w:rPr>
        <w:t>防锈包装的规范化，降低因锈蚀造成的质量事故</w:t>
      </w:r>
      <w:r w:rsidR="00E059AF" w:rsidRPr="00FB142F">
        <w:rPr>
          <w:rFonts w:ascii="宋体" w:hAnsi="宋体" w:cs="宋体" w:hint="eastAsia"/>
          <w:kern w:val="0"/>
          <w:szCs w:val="21"/>
        </w:rPr>
        <w:t>，为社会节约资源。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b/>
          <w:szCs w:val="21"/>
        </w:rPr>
      </w:pPr>
      <w:r w:rsidRPr="00FB142F">
        <w:rPr>
          <w:rFonts w:hint="eastAsia"/>
          <w:b/>
          <w:szCs w:val="21"/>
        </w:rPr>
        <w:t>六、</w:t>
      </w:r>
      <w:r w:rsidR="00D215FD" w:rsidRPr="00FB142F">
        <w:rPr>
          <w:rFonts w:hint="eastAsia"/>
          <w:b/>
          <w:szCs w:val="21"/>
        </w:rPr>
        <w:t>采用国际、国内标准情况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参考了</w:t>
      </w:r>
      <w:r w:rsidR="00323273" w:rsidRPr="00FB142F">
        <w:rPr>
          <w:rFonts w:ascii="宋体" w:hAnsi="宋体" w:cs="宋体" w:hint="eastAsia"/>
          <w:kern w:val="0"/>
          <w:szCs w:val="21"/>
        </w:rPr>
        <w:t>GB/T4879《防锈包装》</w:t>
      </w:r>
      <w:r w:rsidRPr="00FB142F">
        <w:rPr>
          <w:rFonts w:ascii="宋体" w:hAnsi="宋体" w:cs="宋体" w:hint="eastAsia"/>
          <w:kern w:val="0"/>
          <w:szCs w:val="21"/>
        </w:rPr>
        <w:t>，考虑了国内</w:t>
      </w:r>
      <w:r w:rsidR="00323273" w:rsidRPr="00FB142F">
        <w:rPr>
          <w:rFonts w:ascii="宋体" w:hAnsi="宋体" w:cs="宋体" w:hint="eastAsia"/>
          <w:kern w:val="0"/>
          <w:szCs w:val="21"/>
        </w:rPr>
        <w:t>主机厂</w:t>
      </w:r>
      <w:r w:rsidRPr="00FB142F">
        <w:rPr>
          <w:rFonts w:ascii="宋体" w:hAnsi="宋体" w:cs="宋体" w:hint="eastAsia"/>
          <w:kern w:val="0"/>
          <w:szCs w:val="21"/>
        </w:rPr>
        <w:t>的实际生产情况，结合了各主机厂的和评估经验和实际需求</w:t>
      </w:r>
      <w:r w:rsidR="00323273" w:rsidRPr="00FB142F">
        <w:rPr>
          <w:rFonts w:ascii="宋体" w:hAnsi="宋体" w:cs="宋体" w:hint="eastAsia"/>
          <w:kern w:val="0"/>
          <w:szCs w:val="21"/>
        </w:rPr>
        <w:t>，本标准的定位是国内第一个车身冲压件防锈包装规范。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b/>
          <w:szCs w:val="21"/>
        </w:rPr>
      </w:pPr>
      <w:r w:rsidRPr="00FB142F">
        <w:rPr>
          <w:rFonts w:hint="eastAsia"/>
          <w:b/>
          <w:szCs w:val="21"/>
        </w:rPr>
        <w:t>七、</w:t>
      </w:r>
      <w:r w:rsidR="00D215FD" w:rsidRPr="00FB142F">
        <w:rPr>
          <w:rFonts w:hint="eastAsia"/>
          <w:b/>
          <w:szCs w:val="21"/>
        </w:rPr>
        <w:t>与相关标准协调性</w:t>
      </w:r>
    </w:p>
    <w:p w:rsidR="00D215FD" w:rsidRPr="00FB142F" w:rsidRDefault="00D215FD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lastRenderedPageBreak/>
        <w:t xml:space="preserve"> 与相关标准没有冲突矛盾。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b/>
          <w:szCs w:val="21"/>
        </w:rPr>
      </w:pPr>
      <w:r w:rsidRPr="00FB142F">
        <w:rPr>
          <w:rFonts w:ascii="宋体" w:hAnsi="宋体" w:hint="eastAsia"/>
          <w:b/>
          <w:szCs w:val="21"/>
        </w:rPr>
        <w:t>八、</w:t>
      </w:r>
      <w:r w:rsidR="00D215FD" w:rsidRPr="00FB142F">
        <w:rPr>
          <w:rFonts w:ascii="宋体" w:hAnsi="宋体" w:hint="eastAsia"/>
          <w:b/>
          <w:szCs w:val="21"/>
        </w:rPr>
        <w:t>重大分歧意见处理经过和依据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本标准在工作过程中，无重大分歧意见。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b/>
          <w:szCs w:val="21"/>
        </w:rPr>
      </w:pPr>
      <w:r w:rsidRPr="00FB142F">
        <w:rPr>
          <w:rFonts w:ascii="宋体" w:hAnsi="宋体" w:hint="eastAsia"/>
          <w:b/>
          <w:szCs w:val="21"/>
        </w:rPr>
        <w:t>九、</w:t>
      </w:r>
      <w:r w:rsidR="00D215FD" w:rsidRPr="00FB142F">
        <w:rPr>
          <w:rFonts w:ascii="宋体" w:hAnsi="宋体" w:hint="eastAsia"/>
          <w:b/>
          <w:szCs w:val="21"/>
        </w:rPr>
        <w:t>标准性质建议说明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建议为推荐性标准。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b/>
          <w:szCs w:val="21"/>
        </w:rPr>
      </w:pPr>
      <w:r w:rsidRPr="00FB142F">
        <w:rPr>
          <w:rFonts w:ascii="宋体" w:hAnsi="宋体" w:hint="eastAsia"/>
          <w:b/>
          <w:szCs w:val="21"/>
        </w:rPr>
        <w:t>十、</w:t>
      </w:r>
      <w:r w:rsidR="00D215FD" w:rsidRPr="00FB142F">
        <w:rPr>
          <w:rFonts w:ascii="宋体" w:hAnsi="宋体" w:hint="eastAsia"/>
          <w:b/>
          <w:szCs w:val="21"/>
        </w:rPr>
        <w:t xml:space="preserve"> 贯彻标准的要求和措施建议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在行业内组织实施。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b/>
          <w:szCs w:val="21"/>
        </w:rPr>
      </w:pPr>
      <w:r w:rsidRPr="00FB142F">
        <w:rPr>
          <w:rFonts w:ascii="宋体" w:hAnsi="宋体" w:hint="eastAsia"/>
          <w:b/>
          <w:szCs w:val="21"/>
        </w:rPr>
        <w:t>十一、</w:t>
      </w:r>
      <w:r w:rsidR="00D215FD" w:rsidRPr="00FB142F">
        <w:rPr>
          <w:rFonts w:ascii="宋体" w:hAnsi="宋体" w:hint="eastAsia"/>
          <w:b/>
          <w:szCs w:val="21"/>
        </w:rPr>
        <w:t>废止现行相关标准的建议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无</w:t>
      </w:r>
    </w:p>
    <w:p w:rsidR="00D215FD" w:rsidRPr="00FB142F" w:rsidRDefault="0074517F" w:rsidP="00D215FD">
      <w:pPr>
        <w:tabs>
          <w:tab w:val="left" w:pos="10260"/>
        </w:tabs>
        <w:spacing w:line="360" w:lineRule="auto"/>
        <w:ind w:rightChars="11" w:right="23"/>
        <w:rPr>
          <w:rFonts w:ascii="宋体" w:hAnsi="宋体"/>
          <w:b/>
          <w:szCs w:val="21"/>
        </w:rPr>
      </w:pPr>
      <w:r w:rsidRPr="00FB142F">
        <w:rPr>
          <w:rFonts w:ascii="宋体" w:hAnsi="宋体" w:hint="eastAsia"/>
          <w:b/>
          <w:szCs w:val="21"/>
        </w:rPr>
        <w:t>十二、</w:t>
      </w:r>
      <w:r w:rsidR="00D215FD" w:rsidRPr="00FB142F">
        <w:rPr>
          <w:rFonts w:ascii="宋体" w:hAnsi="宋体" w:hint="eastAsia"/>
          <w:b/>
          <w:szCs w:val="21"/>
        </w:rPr>
        <w:t>其它应予说明的事项</w:t>
      </w:r>
    </w:p>
    <w:p w:rsidR="00D215FD" w:rsidRPr="00FB142F" w:rsidRDefault="00D215FD" w:rsidP="00D215FD">
      <w:pPr>
        <w:ind w:firstLineChars="150" w:firstLine="315"/>
        <w:rPr>
          <w:rFonts w:ascii="宋体" w:hAnsi="宋体" w:cs="宋体"/>
          <w:kern w:val="0"/>
          <w:szCs w:val="21"/>
        </w:rPr>
      </w:pPr>
      <w:r w:rsidRPr="00FB142F">
        <w:rPr>
          <w:rFonts w:ascii="宋体" w:hAnsi="宋体" w:cs="宋体" w:hint="eastAsia"/>
          <w:kern w:val="0"/>
          <w:szCs w:val="21"/>
        </w:rPr>
        <w:t>无</w:t>
      </w:r>
    </w:p>
    <w:p w:rsidR="00D215FD" w:rsidRPr="00FB142F" w:rsidRDefault="00D215FD" w:rsidP="00D215FD">
      <w:pPr>
        <w:tabs>
          <w:tab w:val="left" w:pos="10260"/>
        </w:tabs>
        <w:spacing w:line="360" w:lineRule="auto"/>
        <w:ind w:rightChars="11" w:right="23" w:firstLine="420"/>
        <w:rPr>
          <w:rFonts w:ascii="宋体" w:hAnsi="宋体"/>
          <w:szCs w:val="21"/>
        </w:rPr>
      </w:pPr>
      <w:r w:rsidRPr="00FB142F">
        <w:rPr>
          <w:rFonts w:ascii="宋体" w:hAnsi="宋体" w:hint="eastAsia"/>
          <w:szCs w:val="21"/>
        </w:rPr>
        <w:t>标准工作组</w:t>
      </w:r>
    </w:p>
    <w:p w:rsidR="00D215FD" w:rsidRPr="00FB142F" w:rsidRDefault="00D215FD" w:rsidP="00D215FD">
      <w:pPr>
        <w:tabs>
          <w:tab w:val="left" w:pos="10260"/>
        </w:tabs>
        <w:spacing w:line="360" w:lineRule="auto"/>
        <w:ind w:rightChars="11" w:right="23" w:firstLine="420"/>
        <w:rPr>
          <w:rFonts w:ascii="宋体" w:hAnsi="宋体"/>
          <w:szCs w:val="21"/>
        </w:rPr>
      </w:pPr>
      <w:r w:rsidRPr="00FB142F">
        <w:rPr>
          <w:rFonts w:ascii="宋体" w:hAnsi="宋体" w:hint="eastAsia"/>
          <w:szCs w:val="21"/>
        </w:rPr>
        <w:t xml:space="preserve">                                             2017-0</w:t>
      </w:r>
      <w:r w:rsidR="0074517F" w:rsidRPr="00FB142F">
        <w:rPr>
          <w:rFonts w:ascii="宋体" w:hAnsi="宋体" w:hint="eastAsia"/>
          <w:szCs w:val="21"/>
        </w:rPr>
        <w:t>9-20</w:t>
      </w:r>
    </w:p>
    <w:p w:rsidR="004205EB" w:rsidRPr="00FB142F" w:rsidRDefault="004205EB"/>
    <w:sectPr w:rsidR="004205EB" w:rsidRPr="00FB142F" w:rsidSect="00BB450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81" w:rsidRDefault="00087F81">
      <w:r>
        <w:separator/>
      </w:r>
    </w:p>
  </w:endnote>
  <w:endnote w:type="continuationSeparator" w:id="1">
    <w:p w:rsidR="00087F81" w:rsidRDefault="0008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B1" w:rsidRDefault="002B62F0">
    <w:pPr>
      <w:pStyle w:val="a6"/>
    </w:pPr>
    <w:r>
      <w:fldChar w:fldCharType="begin"/>
    </w:r>
    <w:r w:rsidR="00281966">
      <w:rPr>
        <w:rStyle w:val="a3"/>
      </w:rPr>
      <w:instrText xml:space="preserve"> PAGE </w:instrText>
    </w:r>
    <w:r>
      <w:fldChar w:fldCharType="separate"/>
    </w:r>
    <w:r w:rsidR="0082024C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81" w:rsidRDefault="00087F81">
      <w:r>
        <w:separator/>
      </w:r>
    </w:p>
  </w:footnote>
  <w:footnote w:type="continuationSeparator" w:id="1">
    <w:p w:rsidR="00087F81" w:rsidRDefault="0008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B1" w:rsidRDefault="00087F81" w:rsidP="00F64C4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5FD"/>
    <w:rsid w:val="00087F81"/>
    <w:rsid w:val="000A1B9E"/>
    <w:rsid w:val="00281966"/>
    <w:rsid w:val="002B62F0"/>
    <w:rsid w:val="00323273"/>
    <w:rsid w:val="003A1157"/>
    <w:rsid w:val="003D0822"/>
    <w:rsid w:val="003D2BE7"/>
    <w:rsid w:val="004205EB"/>
    <w:rsid w:val="00537806"/>
    <w:rsid w:val="005A02D1"/>
    <w:rsid w:val="00652B93"/>
    <w:rsid w:val="006C6349"/>
    <w:rsid w:val="0074517F"/>
    <w:rsid w:val="007D1247"/>
    <w:rsid w:val="00806D54"/>
    <w:rsid w:val="0082024C"/>
    <w:rsid w:val="008256CC"/>
    <w:rsid w:val="0083490A"/>
    <w:rsid w:val="00882035"/>
    <w:rsid w:val="008F0EBE"/>
    <w:rsid w:val="00967CAE"/>
    <w:rsid w:val="00A07B0E"/>
    <w:rsid w:val="00A85E06"/>
    <w:rsid w:val="00BB2A43"/>
    <w:rsid w:val="00BB4504"/>
    <w:rsid w:val="00BF090A"/>
    <w:rsid w:val="00C349B2"/>
    <w:rsid w:val="00CE72D1"/>
    <w:rsid w:val="00D215FD"/>
    <w:rsid w:val="00D664B0"/>
    <w:rsid w:val="00E059AF"/>
    <w:rsid w:val="00EA0106"/>
    <w:rsid w:val="00F04FBD"/>
    <w:rsid w:val="00F16AA7"/>
    <w:rsid w:val="00F5056A"/>
    <w:rsid w:val="00FB142F"/>
    <w:rsid w:val="00FB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15FD"/>
  </w:style>
  <w:style w:type="paragraph" w:styleId="3">
    <w:name w:val="Body Text Indent 3"/>
    <w:basedOn w:val="a"/>
    <w:link w:val="3Char"/>
    <w:uiPriority w:val="99"/>
    <w:unhideWhenUsed/>
    <w:rsid w:val="00D215FD"/>
    <w:pPr>
      <w:ind w:firstLineChars="600" w:firstLine="2891"/>
    </w:pPr>
    <w:rPr>
      <w:b/>
      <w:bCs/>
      <w:sz w:val="48"/>
    </w:rPr>
  </w:style>
  <w:style w:type="character" w:customStyle="1" w:styleId="3Char">
    <w:name w:val="正文文本缩进 3 Char"/>
    <w:basedOn w:val="a0"/>
    <w:link w:val="3"/>
    <w:uiPriority w:val="99"/>
    <w:rsid w:val="00D215FD"/>
    <w:rPr>
      <w:rFonts w:ascii="Times New Roman" w:eastAsia="宋体" w:hAnsi="Times New Roman" w:cs="Times New Roman"/>
      <w:b/>
      <w:bCs/>
      <w:sz w:val="48"/>
      <w:szCs w:val="24"/>
    </w:rPr>
  </w:style>
  <w:style w:type="paragraph" w:styleId="a4">
    <w:name w:val="header"/>
    <w:basedOn w:val="a"/>
    <w:link w:val="Char"/>
    <w:rsid w:val="00D2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15FD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段"/>
    <w:rsid w:val="00D215F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footer"/>
    <w:basedOn w:val="a"/>
    <w:link w:val="Char0"/>
    <w:rsid w:val="00D2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15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15FD"/>
  </w:style>
  <w:style w:type="paragraph" w:styleId="3">
    <w:name w:val="Body Text Indent 3"/>
    <w:basedOn w:val="a"/>
    <w:link w:val="3Char"/>
    <w:uiPriority w:val="99"/>
    <w:unhideWhenUsed/>
    <w:rsid w:val="00D215FD"/>
    <w:pPr>
      <w:ind w:firstLineChars="600" w:firstLine="2891"/>
    </w:pPr>
    <w:rPr>
      <w:b/>
      <w:bCs/>
      <w:sz w:val="48"/>
    </w:rPr>
  </w:style>
  <w:style w:type="character" w:customStyle="1" w:styleId="3Char">
    <w:name w:val="正文文本缩进 3 Char"/>
    <w:basedOn w:val="a0"/>
    <w:link w:val="3"/>
    <w:uiPriority w:val="99"/>
    <w:rsid w:val="00D215FD"/>
    <w:rPr>
      <w:rFonts w:ascii="Times New Roman" w:eastAsia="宋体" w:hAnsi="Times New Roman" w:cs="Times New Roman"/>
      <w:b/>
      <w:bCs/>
      <w:sz w:val="48"/>
      <w:szCs w:val="24"/>
    </w:rPr>
  </w:style>
  <w:style w:type="paragraph" w:styleId="a4">
    <w:name w:val="header"/>
    <w:basedOn w:val="a"/>
    <w:link w:val="Char"/>
    <w:rsid w:val="00D2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15FD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段"/>
    <w:rsid w:val="00D215F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footer"/>
    <w:basedOn w:val="a"/>
    <w:link w:val="Char0"/>
    <w:rsid w:val="00D2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15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谭振洲</dc:creator>
  <cp:keywords/>
  <dc:description/>
  <cp:lastModifiedBy>黄平</cp:lastModifiedBy>
  <cp:revision>6</cp:revision>
  <dcterms:created xsi:type="dcterms:W3CDTF">2017-09-28T05:23:00Z</dcterms:created>
  <dcterms:modified xsi:type="dcterms:W3CDTF">2017-10-16T06:01:00Z</dcterms:modified>
</cp:coreProperties>
</file>